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30735" w14:textId="77777777" w:rsidR="003B14C4" w:rsidRDefault="003B14C4" w:rsidP="003C1DCE">
      <w:pPr>
        <w:rPr>
          <w:color w:val="1C2023"/>
          <w:sz w:val="20"/>
        </w:rPr>
      </w:pPr>
    </w:p>
    <w:p w14:paraId="0EE1EAAA" w14:textId="77777777" w:rsidR="003B14C4" w:rsidRDefault="003B14C4" w:rsidP="003C1DCE">
      <w:pPr>
        <w:rPr>
          <w:color w:val="1C2023"/>
          <w:sz w:val="20"/>
        </w:rPr>
      </w:pPr>
    </w:p>
    <w:p w14:paraId="15C20705" w14:textId="77777777" w:rsidR="003B14C4" w:rsidRDefault="003B14C4" w:rsidP="003C1DCE">
      <w:pPr>
        <w:rPr>
          <w:color w:val="1C2023"/>
          <w:sz w:val="20"/>
        </w:rPr>
      </w:pPr>
    </w:p>
    <w:p w14:paraId="7CF6A4C0" w14:textId="38CE7168" w:rsidR="003B14C4" w:rsidRDefault="00851A3C" w:rsidP="00851A3C">
      <w:pPr>
        <w:jc w:val="center"/>
        <w:rPr>
          <w:b/>
          <w:bCs/>
          <w:color w:val="1C2023"/>
          <w:sz w:val="40"/>
          <w:szCs w:val="40"/>
        </w:rPr>
      </w:pPr>
      <w:r w:rsidRPr="00851A3C">
        <w:rPr>
          <w:b/>
          <w:bCs/>
          <w:color w:val="1C2023"/>
          <w:sz w:val="40"/>
          <w:szCs w:val="40"/>
        </w:rPr>
        <w:t>CDC Continuing Education: Frequently Asked Questions</w:t>
      </w:r>
    </w:p>
    <w:p w14:paraId="62E16A90" w14:textId="7CC1F099" w:rsidR="00851A3C" w:rsidRDefault="00851A3C" w:rsidP="00851A3C">
      <w:pPr>
        <w:jc w:val="center"/>
        <w:rPr>
          <w:b/>
          <w:bCs/>
          <w:color w:val="1C2023"/>
          <w:sz w:val="40"/>
          <w:szCs w:val="40"/>
        </w:rPr>
      </w:pPr>
    </w:p>
    <w:p w14:paraId="73BC07D6" w14:textId="0FF3FEB7" w:rsidR="00851A3C" w:rsidRPr="003D74DD" w:rsidRDefault="00851A3C" w:rsidP="00851A3C">
      <w:pPr>
        <w:rPr>
          <w:color w:val="1C2023"/>
        </w:rPr>
      </w:pPr>
      <w:r w:rsidRPr="003D74DD">
        <w:rPr>
          <w:color w:val="1C2023"/>
        </w:rPr>
        <w:t xml:space="preserve">Q: Who do I notify with change of address/contact information? </w:t>
      </w:r>
    </w:p>
    <w:p w14:paraId="0F859741" w14:textId="28771F3C" w:rsidR="00851A3C" w:rsidRPr="00851A3C" w:rsidRDefault="00851A3C" w:rsidP="00851A3C">
      <w:pPr>
        <w:rPr>
          <w:b/>
          <w:bCs/>
          <w:color w:val="0070C0"/>
        </w:rPr>
      </w:pPr>
      <w:r w:rsidRPr="003D74DD">
        <w:rPr>
          <w:b/>
          <w:bCs/>
          <w:color w:val="00ABC4"/>
        </w:rPr>
        <w:t xml:space="preserve">A: </w:t>
      </w:r>
      <w:r w:rsidRPr="00851A3C">
        <w:rPr>
          <w:b/>
          <w:bCs/>
          <w:color w:val="00ABC4"/>
        </w:rPr>
        <w:t>Inform the center where you did your training or send updated contact information to:</w:t>
      </w:r>
      <w:r w:rsidRPr="003D74DD">
        <w:rPr>
          <w:b/>
          <w:bCs/>
          <w:color w:val="00ABC4"/>
        </w:rPr>
        <w:t xml:space="preserve"> </w:t>
      </w:r>
      <w:hyperlink r:id="rId8" w:history="1">
        <w:r w:rsidRPr="00851A3C">
          <w:rPr>
            <w:rStyle w:val="Hyperlink"/>
            <w:b/>
            <w:bCs/>
            <w:color w:val="0070C0"/>
          </w:rPr>
          <w:t>HQAdmin@cdcinc.org</w:t>
        </w:r>
      </w:hyperlink>
      <w:r w:rsidRPr="00851A3C">
        <w:rPr>
          <w:b/>
          <w:bCs/>
          <w:color w:val="0070C0"/>
        </w:rPr>
        <w:t xml:space="preserve"> </w:t>
      </w:r>
    </w:p>
    <w:p w14:paraId="18B475A2" w14:textId="77777777" w:rsidR="00851A3C" w:rsidRPr="003D74DD" w:rsidRDefault="00851A3C" w:rsidP="00851A3C">
      <w:pPr>
        <w:rPr>
          <w:color w:val="1C2023"/>
        </w:rPr>
      </w:pPr>
    </w:p>
    <w:p w14:paraId="78A9662D" w14:textId="742FECC4" w:rsidR="00851A3C" w:rsidRPr="003D74DD" w:rsidRDefault="00851A3C" w:rsidP="00851A3C">
      <w:pPr>
        <w:rPr>
          <w:color w:val="1C2023"/>
        </w:rPr>
      </w:pPr>
      <w:r w:rsidRPr="00851A3C">
        <w:rPr>
          <w:color w:val="1C2023"/>
        </w:rPr>
        <w:t xml:space="preserve">Q:  Where can I find the </w:t>
      </w:r>
      <w:r w:rsidRPr="003D74DD">
        <w:rPr>
          <w:color w:val="1C2023"/>
        </w:rPr>
        <w:t>continuing education</w:t>
      </w:r>
      <w:r w:rsidRPr="00851A3C">
        <w:rPr>
          <w:color w:val="1C2023"/>
        </w:rPr>
        <w:t xml:space="preserve"> policies, forms, and approved book/journal lists?</w:t>
      </w:r>
    </w:p>
    <w:p w14:paraId="15C1BFBD" w14:textId="77777777" w:rsidR="00851A3C" w:rsidRPr="00851A3C" w:rsidRDefault="00851A3C" w:rsidP="00851A3C">
      <w:pPr>
        <w:rPr>
          <w:b/>
          <w:bCs/>
          <w:color w:val="00ABC4"/>
        </w:rPr>
      </w:pPr>
      <w:r w:rsidRPr="00851A3C">
        <w:rPr>
          <w:b/>
          <w:bCs/>
          <w:color w:val="00ABC4"/>
        </w:rPr>
        <w:t xml:space="preserve">A: Current policies and forms/lists are posted on the CDC website at </w:t>
      </w:r>
      <w:hyperlink r:id="rId9" w:history="1">
        <w:r w:rsidRPr="00851A3C">
          <w:rPr>
            <w:rStyle w:val="Hyperlink"/>
            <w:b/>
            <w:bCs/>
            <w:color w:val="0070C0"/>
          </w:rPr>
          <w:t>https://www.childrensdyslexiacenters.org/continuing-education/</w:t>
        </w:r>
      </w:hyperlink>
      <w:r w:rsidRPr="00851A3C">
        <w:rPr>
          <w:b/>
          <w:bCs/>
          <w:color w:val="0070C0"/>
        </w:rPr>
        <w:t xml:space="preserve"> </w:t>
      </w:r>
    </w:p>
    <w:p w14:paraId="37381911" w14:textId="1996B963" w:rsidR="00851A3C" w:rsidRPr="003D74DD" w:rsidRDefault="00851A3C" w:rsidP="00851A3C">
      <w:pPr>
        <w:rPr>
          <w:color w:val="1C2023"/>
        </w:rPr>
      </w:pPr>
    </w:p>
    <w:p w14:paraId="1DEFC89C" w14:textId="77777777" w:rsidR="00851A3C" w:rsidRPr="00851A3C" w:rsidRDefault="00851A3C" w:rsidP="00851A3C">
      <w:pPr>
        <w:rPr>
          <w:color w:val="1C2023"/>
        </w:rPr>
      </w:pPr>
      <w:r w:rsidRPr="00851A3C">
        <w:rPr>
          <w:color w:val="1C2023"/>
        </w:rPr>
        <w:t>Q: How will I know when and where to submit my continuing education log and required documentation?</w:t>
      </w:r>
    </w:p>
    <w:p w14:paraId="12EFDC72" w14:textId="77777777" w:rsidR="00851A3C" w:rsidRPr="00851A3C" w:rsidRDefault="00851A3C" w:rsidP="00851A3C">
      <w:pPr>
        <w:rPr>
          <w:b/>
          <w:bCs/>
          <w:color w:val="00ABC4"/>
        </w:rPr>
      </w:pPr>
      <w:r w:rsidRPr="00851A3C">
        <w:rPr>
          <w:b/>
          <w:bCs/>
          <w:color w:val="00ABC4"/>
        </w:rPr>
        <w:t xml:space="preserve">A: You will be notified via mail several months prior to your due date. The letter will contain information on when and where to send your documentation. </w:t>
      </w:r>
    </w:p>
    <w:p w14:paraId="4652DBBD" w14:textId="5F7A90BB" w:rsidR="00851A3C" w:rsidRPr="003D74DD" w:rsidRDefault="00851A3C" w:rsidP="00851A3C">
      <w:pPr>
        <w:rPr>
          <w:color w:val="1C2023"/>
        </w:rPr>
      </w:pPr>
    </w:p>
    <w:p w14:paraId="0459EB41" w14:textId="77777777" w:rsidR="00851A3C" w:rsidRPr="00851A3C" w:rsidRDefault="00851A3C" w:rsidP="00851A3C">
      <w:pPr>
        <w:rPr>
          <w:color w:val="1C2023"/>
        </w:rPr>
      </w:pPr>
      <w:r w:rsidRPr="00851A3C">
        <w:rPr>
          <w:color w:val="1C2023"/>
        </w:rPr>
        <w:t>Q: My letter said I am being audited. What does that mean?</w:t>
      </w:r>
    </w:p>
    <w:p w14:paraId="08A2CA53" w14:textId="77777777" w:rsidR="00851A3C" w:rsidRPr="00851A3C" w:rsidRDefault="00851A3C" w:rsidP="00851A3C">
      <w:pPr>
        <w:rPr>
          <w:b/>
          <w:bCs/>
          <w:color w:val="00ABC4"/>
        </w:rPr>
      </w:pPr>
      <w:r w:rsidRPr="00851A3C">
        <w:rPr>
          <w:b/>
          <w:bCs/>
          <w:color w:val="00ABC4"/>
        </w:rPr>
        <w:t xml:space="preserve">A: Ten percent of our graduates are randomly selected to be audited. Graduates being audited must submit the continuing education activity log and ALL documentation listed in the </w:t>
      </w:r>
      <w:r w:rsidRPr="00851A3C">
        <w:rPr>
          <w:b/>
          <w:bCs/>
          <w:i/>
          <w:iCs/>
          <w:color w:val="00ABC4"/>
        </w:rPr>
        <w:t>CDC CE Policies and Procedures</w:t>
      </w:r>
      <w:r w:rsidRPr="00851A3C">
        <w:rPr>
          <w:b/>
          <w:bCs/>
          <w:color w:val="00ABC4"/>
        </w:rPr>
        <w:t xml:space="preserve"> for each type of activity completed.</w:t>
      </w:r>
    </w:p>
    <w:p w14:paraId="7C0F346A" w14:textId="6CC75E80" w:rsidR="00851A3C" w:rsidRPr="003D74DD" w:rsidRDefault="00851A3C" w:rsidP="00851A3C">
      <w:pPr>
        <w:rPr>
          <w:color w:val="1C2023"/>
        </w:rPr>
      </w:pPr>
    </w:p>
    <w:p w14:paraId="0CE11699" w14:textId="77777777" w:rsidR="00851A3C" w:rsidRPr="00851A3C" w:rsidRDefault="00851A3C" w:rsidP="00851A3C">
      <w:pPr>
        <w:rPr>
          <w:color w:val="1C2023"/>
        </w:rPr>
      </w:pPr>
      <w:r w:rsidRPr="00851A3C">
        <w:rPr>
          <w:color w:val="1C2023"/>
        </w:rPr>
        <w:t>Q: My letter said I only need to submit a continuing education activity log. What does that mean?</w:t>
      </w:r>
    </w:p>
    <w:p w14:paraId="322CA115" w14:textId="1B323ACE" w:rsidR="00851A3C" w:rsidRPr="00851A3C" w:rsidRDefault="00851A3C" w:rsidP="00851A3C">
      <w:pPr>
        <w:rPr>
          <w:b/>
          <w:bCs/>
          <w:color w:val="00ABC4"/>
        </w:rPr>
      </w:pPr>
      <w:r w:rsidRPr="00851A3C">
        <w:rPr>
          <w:b/>
          <w:bCs/>
          <w:color w:val="00ABC4"/>
        </w:rPr>
        <w:t>A: You are not being audited and you will only submit a completed copy of your continuing education activity log (do not send anything else). If you are a tutor at a Center, you are required to keep copies of all documentation in your personnel file.</w:t>
      </w:r>
    </w:p>
    <w:p w14:paraId="37813E99" w14:textId="2375485E" w:rsidR="00851A3C" w:rsidRPr="003D74DD" w:rsidRDefault="00851A3C" w:rsidP="00851A3C">
      <w:pPr>
        <w:rPr>
          <w:color w:val="1C2023"/>
        </w:rPr>
      </w:pPr>
    </w:p>
    <w:p w14:paraId="6B99F8C4" w14:textId="093E597D" w:rsidR="00851A3C" w:rsidRPr="00851A3C" w:rsidRDefault="00851A3C" w:rsidP="00851A3C">
      <w:pPr>
        <w:rPr>
          <w:color w:val="1C2023"/>
        </w:rPr>
      </w:pPr>
      <w:r w:rsidRPr="00851A3C">
        <w:rPr>
          <w:color w:val="1C2023"/>
        </w:rPr>
        <w:t>Q: Do continuing education opportunities offered at the Center count for continuing education hours?</w:t>
      </w:r>
    </w:p>
    <w:p w14:paraId="0CE96C2B" w14:textId="77777777" w:rsidR="00851A3C" w:rsidRPr="00851A3C" w:rsidRDefault="00851A3C" w:rsidP="00851A3C">
      <w:pPr>
        <w:rPr>
          <w:b/>
          <w:bCs/>
          <w:color w:val="00ABC4"/>
        </w:rPr>
      </w:pPr>
      <w:r w:rsidRPr="00851A3C">
        <w:rPr>
          <w:b/>
          <w:bCs/>
          <w:color w:val="00ABC4"/>
        </w:rPr>
        <w:t xml:space="preserve">A: Yes, as long as the activity meets the content guidelines set by IMSLEC (item 2 on page one of the </w:t>
      </w:r>
      <w:r w:rsidRPr="00851A3C">
        <w:rPr>
          <w:b/>
          <w:bCs/>
          <w:i/>
          <w:iCs/>
          <w:color w:val="00ABC4"/>
        </w:rPr>
        <w:t>CDC CE Policies and Procedures</w:t>
      </w:r>
      <w:r w:rsidRPr="00851A3C">
        <w:rPr>
          <w:b/>
          <w:bCs/>
          <w:color w:val="00ABC4"/>
        </w:rPr>
        <w:t xml:space="preserve">.) Hours for center procedures or similar activities do not count. </w:t>
      </w:r>
    </w:p>
    <w:p w14:paraId="56DFDDE1" w14:textId="77777777" w:rsidR="00851A3C" w:rsidRPr="003D74DD" w:rsidRDefault="00851A3C" w:rsidP="00851A3C">
      <w:pPr>
        <w:rPr>
          <w:color w:val="1C2023"/>
        </w:rPr>
      </w:pPr>
    </w:p>
    <w:p w14:paraId="45EE1581" w14:textId="77777777" w:rsidR="00851A3C" w:rsidRPr="003D74DD" w:rsidRDefault="00851A3C" w:rsidP="00851A3C">
      <w:pPr>
        <w:rPr>
          <w:color w:val="1C2023"/>
        </w:rPr>
      </w:pPr>
    </w:p>
    <w:p w14:paraId="128654B2" w14:textId="654FEAC3" w:rsidR="00851A3C" w:rsidRPr="00851A3C" w:rsidRDefault="00851A3C" w:rsidP="00851A3C">
      <w:pPr>
        <w:rPr>
          <w:color w:val="1C2023"/>
        </w:rPr>
      </w:pPr>
      <w:r w:rsidRPr="00851A3C">
        <w:rPr>
          <w:color w:val="1C2023"/>
        </w:rPr>
        <w:t>Q: How do I know if an activity is approved for continuing education hours?</w:t>
      </w:r>
    </w:p>
    <w:p w14:paraId="466BEACF" w14:textId="77777777" w:rsidR="00851A3C" w:rsidRPr="00851A3C" w:rsidRDefault="00851A3C" w:rsidP="00851A3C">
      <w:pPr>
        <w:rPr>
          <w:b/>
          <w:bCs/>
          <w:color w:val="00ABC4"/>
        </w:rPr>
      </w:pPr>
      <w:r w:rsidRPr="00851A3C">
        <w:rPr>
          <w:b/>
          <w:bCs/>
          <w:color w:val="00ABC4"/>
        </w:rPr>
        <w:t xml:space="preserve">A: </w:t>
      </w:r>
    </w:p>
    <w:p w14:paraId="351BDF3E" w14:textId="77777777" w:rsidR="00851A3C" w:rsidRPr="00851A3C" w:rsidRDefault="00851A3C" w:rsidP="00851A3C">
      <w:pPr>
        <w:numPr>
          <w:ilvl w:val="0"/>
          <w:numId w:val="1"/>
        </w:numPr>
        <w:rPr>
          <w:b/>
          <w:bCs/>
          <w:color w:val="00ABC4"/>
        </w:rPr>
      </w:pPr>
      <w:r w:rsidRPr="00851A3C">
        <w:rPr>
          <w:b/>
          <w:bCs/>
          <w:color w:val="00ABC4"/>
        </w:rPr>
        <w:t xml:space="preserve">Check that the content meets CDC’s content guidelines (see </w:t>
      </w:r>
      <w:r w:rsidRPr="00851A3C">
        <w:rPr>
          <w:b/>
          <w:bCs/>
          <w:i/>
          <w:iCs/>
          <w:color w:val="00ABC4"/>
        </w:rPr>
        <w:t>CDC CE Policies and Procedures</w:t>
      </w:r>
      <w:r w:rsidRPr="00851A3C">
        <w:rPr>
          <w:b/>
          <w:bCs/>
          <w:color w:val="00ABC4"/>
        </w:rPr>
        <w:t>)</w:t>
      </w:r>
    </w:p>
    <w:p w14:paraId="0950116A" w14:textId="77777777" w:rsidR="00851A3C" w:rsidRPr="00851A3C" w:rsidRDefault="00851A3C" w:rsidP="00851A3C">
      <w:pPr>
        <w:numPr>
          <w:ilvl w:val="0"/>
          <w:numId w:val="1"/>
        </w:numPr>
        <w:rPr>
          <w:b/>
          <w:bCs/>
          <w:color w:val="00ABC4"/>
        </w:rPr>
      </w:pPr>
      <w:r w:rsidRPr="00851A3C">
        <w:rPr>
          <w:b/>
          <w:bCs/>
          <w:color w:val="00ABC4"/>
        </w:rPr>
        <w:t xml:space="preserve">Check that the sponsoring organization is approved by IMSLEC or that the presenter meets the guidelines (see </w:t>
      </w:r>
      <w:r w:rsidRPr="00851A3C">
        <w:rPr>
          <w:b/>
          <w:bCs/>
          <w:i/>
          <w:iCs/>
          <w:color w:val="00ABC4"/>
        </w:rPr>
        <w:t>CDC CE Policies and Procedures</w:t>
      </w:r>
      <w:r w:rsidRPr="00851A3C">
        <w:rPr>
          <w:b/>
          <w:bCs/>
          <w:color w:val="00ABC4"/>
        </w:rPr>
        <w:t>)</w:t>
      </w:r>
    </w:p>
    <w:p w14:paraId="32E9DD24" w14:textId="0D72112F" w:rsidR="00851A3C" w:rsidRPr="003D74DD" w:rsidRDefault="00851A3C" w:rsidP="00851A3C">
      <w:pPr>
        <w:rPr>
          <w:color w:val="1C2023"/>
        </w:rPr>
      </w:pPr>
    </w:p>
    <w:p w14:paraId="4571CCDC" w14:textId="77777777" w:rsidR="003D74DD" w:rsidRDefault="003D74DD" w:rsidP="00851A3C">
      <w:pPr>
        <w:rPr>
          <w:color w:val="1C2023"/>
        </w:rPr>
      </w:pPr>
    </w:p>
    <w:p w14:paraId="06935A76" w14:textId="77777777" w:rsidR="003D74DD" w:rsidRDefault="003D74DD" w:rsidP="00851A3C">
      <w:pPr>
        <w:rPr>
          <w:color w:val="1C2023"/>
        </w:rPr>
      </w:pPr>
    </w:p>
    <w:p w14:paraId="1385269B" w14:textId="77777777" w:rsidR="003D74DD" w:rsidRDefault="003D74DD" w:rsidP="00851A3C">
      <w:pPr>
        <w:rPr>
          <w:color w:val="1C2023"/>
        </w:rPr>
      </w:pPr>
    </w:p>
    <w:p w14:paraId="482F91FC" w14:textId="77777777" w:rsidR="003D74DD" w:rsidRDefault="003D74DD" w:rsidP="00851A3C">
      <w:pPr>
        <w:rPr>
          <w:color w:val="1C2023"/>
        </w:rPr>
      </w:pPr>
    </w:p>
    <w:p w14:paraId="39CCB6B0" w14:textId="7626C3B9" w:rsidR="00851A3C" w:rsidRPr="00851A3C" w:rsidRDefault="00851A3C" w:rsidP="00851A3C">
      <w:pPr>
        <w:rPr>
          <w:color w:val="1C2023"/>
        </w:rPr>
      </w:pPr>
      <w:r w:rsidRPr="00851A3C">
        <w:rPr>
          <w:color w:val="1C2023"/>
        </w:rPr>
        <w:t>Q: The sponsor for an activity is not approved by IMSLEC. How can I find out if a presenter is approved?</w:t>
      </w:r>
    </w:p>
    <w:p w14:paraId="7D8961AA" w14:textId="77777777" w:rsidR="00851A3C" w:rsidRPr="00851A3C" w:rsidRDefault="00851A3C" w:rsidP="00851A3C">
      <w:pPr>
        <w:rPr>
          <w:b/>
          <w:bCs/>
          <w:color w:val="00ABC4"/>
        </w:rPr>
      </w:pPr>
      <w:r w:rsidRPr="00851A3C">
        <w:rPr>
          <w:b/>
          <w:bCs/>
          <w:color w:val="00ABC4"/>
        </w:rPr>
        <w:t>A: There is a partial list of presenters on the CDC website. If the person is not listed there, then you need to contact the activity sponsor to request the presenter’s credentials.</w:t>
      </w:r>
    </w:p>
    <w:p w14:paraId="6C09EBC6" w14:textId="7D8D7C5D" w:rsidR="00851A3C" w:rsidRPr="003D74DD" w:rsidRDefault="00851A3C" w:rsidP="00851A3C">
      <w:pPr>
        <w:rPr>
          <w:color w:val="1C2023"/>
        </w:rPr>
      </w:pPr>
    </w:p>
    <w:p w14:paraId="1EF54D61" w14:textId="77777777" w:rsidR="00851A3C" w:rsidRPr="00851A3C" w:rsidRDefault="00851A3C" w:rsidP="00851A3C">
      <w:pPr>
        <w:rPr>
          <w:color w:val="1C2023"/>
        </w:rPr>
      </w:pPr>
      <w:r w:rsidRPr="00851A3C">
        <w:rPr>
          <w:color w:val="1C2023"/>
        </w:rPr>
        <w:t>Q: Can I just send a printout of my professional development list for my teaching position or another professional organization?</w:t>
      </w:r>
    </w:p>
    <w:p w14:paraId="43A63A36" w14:textId="77777777" w:rsidR="00851A3C" w:rsidRPr="00851A3C" w:rsidRDefault="00851A3C" w:rsidP="00851A3C">
      <w:pPr>
        <w:rPr>
          <w:b/>
          <w:bCs/>
          <w:color w:val="00ABC4"/>
        </w:rPr>
      </w:pPr>
      <w:r w:rsidRPr="00851A3C">
        <w:rPr>
          <w:b/>
          <w:bCs/>
          <w:color w:val="00ABC4"/>
        </w:rPr>
        <w:t xml:space="preserve">A: You must transfer your approved activities to the form provided by Headquarters. </w:t>
      </w:r>
    </w:p>
    <w:p w14:paraId="5B13F764" w14:textId="77777777" w:rsidR="00851A3C" w:rsidRPr="00851A3C" w:rsidRDefault="00851A3C" w:rsidP="00851A3C">
      <w:pPr>
        <w:rPr>
          <w:b/>
          <w:bCs/>
          <w:color w:val="00ABC4"/>
        </w:rPr>
      </w:pPr>
      <w:r w:rsidRPr="00851A3C">
        <w:rPr>
          <w:b/>
          <w:bCs/>
          <w:color w:val="00ABC4"/>
        </w:rPr>
        <w:t xml:space="preserve">Notes: </w:t>
      </w:r>
    </w:p>
    <w:p w14:paraId="2806A600" w14:textId="5599AE6D" w:rsidR="00851A3C" w:rsidRPr="00851A3C" w:rsidRDefault="00851A3C" w:rsidP="00851A3C">
      <w:pPr>
        <w:numPr>
          <w:ilvl w:val="0"/>
          <w:numId w:val="2"/>
        </w:numPr>
        <w:rPr>
          <w:b/>
          <w:bCs/>
          <w:color w:val="00ABC4"/>
        </w:rPr>
      </w:pPr>
      <w:r w:rsidRPr="00851A3C">
        <w:rPr>
          <w:b/>
          <w:bCs/>
          <w:color w:val="00ABC4"/>
        </w:rPr>
        <w:t>The CDC does not check with other professional organization</w:t>
      </w:r>
      <w:r w:rsidR="00A10F60">
        <w:rPr>
          <w:b/>
          <w:bCs/>
          <w:color w:val="00ABC4"/>
        </w:rPr>
        <w:t>s</w:t>
      </w:r>
      <w:r w:rsidRPr="00851A3C">
        <w:rPr>
          <w:b/>
          <w:bCs/>
          <w:color w:val="00ABC4"/>
        </w:rPr>
        <w:t xml:space="preserve"> to see if you are in good standing with them. You must submit your CE log with your completed hours to CDC.</w:t>
      </w:r>
    </w:p>
    <w:p w14:paraId="221B0C58" w14:textId="77777777" w:rsidR="00851A3C" w:rsidRPr="00851A3C" w:rsidRDefault="00851A3C" w:rsidP="00851A3C">
      <w:pPr>
        <w:numPr>
          <w:ilvl w:val="0"/>
          <w:numId w:val="2"/>
        </w:numPr>
        <w:rPr>
          <w:b/>
          <w:bCs/>
          <w:color w:val="00ABC4"/>
        </w:rPr>
      </w:pPr>
      <w:r w:rsidRPr="00851A3C">
        <w:rPr>
          <w:b/>
          <w:bCs/>
          <w:color w:val="00ABC4"/>
        </w:rPr>
        <w:t xml:space="preserve">Many activities provided by school districts do not meet CDC content and/or presenter guidelines. </w:t>
      </w:r>
    </w:p>
    <w:p w14:paraId="37E8EDAD" w14:textId="095916F7" w:rsidR="00851A3C" w:rsidRPr="003D74DD" w:rsidRDefault="00851A3C" w:rsidP="00851A3C">
      <w:pPr>
        <w:rPr>
          <w:color w:val="1C2023"/>
        </w:rPr>
      </w:pPr>
    </w:p>
    <w:p w14:paraId="7E57D54F" w14:textId="07238508" w:rsidR="00851A3C" w:rsidRPr="003D74DD" w:rsidRDefault="00851A3C" w:rsidP="00851A3C">
      <w:pPr>
        <w:rPr>
          <w:color w:val="1C2023"/>
        </w:rPr>
      </w:pPr>
      <w:r w:rsidRPr="003D74DD">
        <w:rPr>
          <w:color w:val="1C2023"/>
        </w:rPr>
        <w:t xml:space="preserve">Q: </w:t>
      </w:r>
      <w:r w:rsidR="003D74DD" w:rsidRPr="003D74DD">
        <w:rPr>
          <w:color w:val="1C2023"/>
        </w:rPr>
        <w:t>Can I use training in a curriculum program for continuing education hours?</w:t>
      </w:r>
    </w:p>
    <w:p w14:paraId="78B335CE" w14:textId="1795F77B" w:rsidR="003D74DD" w:rsidRPr="003D74DD" w:rsidRDefault="003D74DD" w:rsidP="00851A3C">
      <w:pPr>
        <w:rPr>
          <w:b/>
          <w:bCs/>
          <w:color w:val="00ABC4"/>
        </w:rPr>
      </w:pPr>
      <w:r w:rsidRPr="003D74DD">
        <w:rPr>
          <w:b/>
          <w:bCs/>
          <w:color w:val="00ABC4"/>
        </w:rPr>
        <w:t>A: The CDC does not accept training in an Orton-Gillingham-/MSLE-/Structured Literacy-based curriculum for continuing education hours.</w:t>
      </w:r>
    </w:p>
    <w:p w14:paraId="16564B84" w14:textId="77777777" w:rsidR="00851A3C" w:rsidRPr="003D74DD" w:rsidRDefault="00851A3C" w:rsidP="00851A3C">
      <w:pPr>
        <w:rPr>
          <w:color w:val="1C2023"/>
        </w:rPr>
      </w:pPr>
    </w:p>
    <w:p w14:paraId="26692FCE" w14:textId="0A9F24E0" w:rsidR="00851A3C" w:rsidRPr="00851A3C" w:rsidRDefault="00851A3C" w:rsidP="00851A3C">
      <w:pPr>
        <w:rPr>
          <w:color w:val="1C2023"/>
        </w:rPr>
      </w:pPr>
      <w:r w:rsidRPr="00851A3C">
        <w:rPr>
          <w:color w:val="1C2023"/>
        </w:rPr>
        <w:t>Q: What happens if I do not submit my continuing education hours or my hours are not approved?</w:t>
      </w:r>
    </w:p>
    <w:p w14:paraId="2C5BC41C" w14:textId="77777777" w:rsidR="00851A3C" w:rsidRPr="00851A3C" w:rsidRDefault="00851A3C" w:rsidP="00851A3C">
      <w:pPr>
        <w:rPr>
          <w:b/>
          <w:bCs/>
          <w:color w:val="00ABC4"/>
        </w:rPr>
      </w:pPr>
      <w:r w:rsidRPr="00851A3C">
        <w:rPr>
          <w:b/>
          <w:bCs/>
          <w:color w:val="00ABC4"/>
        </w:rPr>
        <w:t xml:space="preserve">A: </w:t>
      </w:r>
    </w:p>
    <w:p w14:paraId="577F2A95" w14:textId="77777777" w:rsidR="00851A3C" w:rsidRPr="00851A3C" w:rsidRDefault="00851A3C" w:rsidP="00851A3C">
      <w:pPr>
        <w:numPr>
          <w:ilvl w:val="0"/>
          <w:numId w:val="3"/>
        </w:numPr>
        <w:rPr>
          <w:b/>
          <w:bCs/>
          <w:color w:val="00ABC4"/>
        </w:rPr>
      </w:pPr>
      <w:r w:rsidRPr="00851A3C">
        <w:rPr>
          <w:b/>
          <w:bCs/>
          <w:color w:val="00ABC4"/>
        </w:rPr>
        <w:t>If your hours are not approved, you will be notified and given the option to re-submit your continuing education hours.</w:t>
      </w:r>
    </w:p>
    <w:p w14:paraId="449169C0" w14:textId="77777777" w:rsidR="00851A3C" w:rsidRPr="00851A3C" w:rsidRDefault="00851A3C" w:rsidP="00851A3C">
      <w:pPr>
        <w:numPr>
          <w:ilvl w:val="0"/>
          <w:numId w:val="3"/>
        </w:numPr>
        <w:rPr>
          <w:color w:val="00ABC4"/>
        </w:rPr>
      </w:pPr>
      <w:r w:rsidRPr="00851A3C">
        <w:rPr>
          <w:b/>
          <w:bCs/>
          <w:color w:val="00ABC4"/>
        </w:rPr>
        <w:t>If you do not submit any continuing education hours, your certification will expire on the date indicated on your certificate and you will no longer be in good standing with CDC and IMSLEC</w:t>
      </w:r>
      <w:r w:rsidRPr="00851A3C">
        <w:rPr>
          <w:color w:val="00ABC4"/>
        </w:rPr>
        <w:t>.</w:t>
      </w:r>
    </w:p>
    <w:p w14:paraId="39D2C205" w14:textId="1DBCEC2C" w:rsidR="00851A3C" w:rsidRPr="003D74DD" w:rsidRDefault="00851A3C" w:rsidP="00851A3C">
      <w:pPr>
        <w:rPr>
          <w:color w:val="1C2023"/>
        </w:rPr>
      </w:pPr>
    </w:p>
    <w:p w14:paraId="3876B567" w14:textId="77777777" w:rsidR="00851A3C" w:rsidRPr="00851A3C" w:rsidRDefault="00851A3C" w:rsidP="00851A3C">
      <w:pPr>
        <w:rPr>
          <w:color w:val="1C2023"/>
        </w:rPr>
      </w:pPr>
      <w:r w:rsidRPr="00851A3C">
        <w:rPr>
          <w:color w:val="1C2023"/>
        </w:rPr>
        <w:t xml:space="preserve">Q: What happens if I am unable to complete my hours due to a medical concern or other extenuating circumstance? </w:t>
      </w:r>
    </w:p>
    <w:p w14:paraId="3D19F068" w14:textId="2DB1FF38" w:rsidR="00851A3C" w:rsidRPr="00851A3C" w:rsidRDefault="00851A3C" w:rsidP="00851A3C">
      <w:pPr>
        <w:rPr>
          <w:b/>
          <w:bCs/>
          <w:color w:val="00ABC4"/>
        </w:rPr>
      </w:pPr>
      <w:r w:rsidRPr="00851A3C">
        <w:rPr>
          <w:b/>
          <w:bCs/>
          <w:color w:val="00ABC4"/>
        </w:rPr>
        <w:t>A: The letter you receive from CDC will include information for requesting a waiver</w:t>
      </w:r>
      <w:r w:rsidRPr="003D74DD">
        <w:rPr>
          <w:b/>
          <w:bCs/>
          <w:color w:val="00ABC4"/>
        </w:rPr>
        <w:t xml:space="preserve"> for part or </w:t>
      </w:r>
      <w:r w:rsidR="003D74DD" w:rsidRPr="003D74DD">
        <w:rPr>
          <w:b/>
          <w:bCs/>
          <w:color w:val="00ABC4"/>
        </w:rPr>
        <w:t>all</w:t>
      </w:r>
      <w:r w:rsidRPr="003D74DD">
        <w:rPr>
          <w:b/>
          <w:bCs/>
          <w:color w:val="00ABC4"/>
        </w:rPr>
        <w:t xml:space="preserve"> the hours</w:t>
      </w:r>
      <w:r w:rsidRPr="00851A3C">
        <w:rPr>
          <w:b/>
          <w:bCs/>
          <w:color w:val="00ABC4"/>
        </w:rPr>
        <w:t xml:space="preserve">. </w:t>
      </w:r>
    </w:p>
    <w:p w14:paraId="73BD1F96" w14:textId="370BC189" w:rsidR="00851A3C" w:rsidRPr="003D74DD" w:rsidRDefault="00851A3C" w:rsidP="00851A3C">
      <w:pPr>
        <w:rPr>
          <w:color w:val="1C2023"/>
        </w:rPr>
      </w:pPr>
    </w:p>
    <w:p w14:paraId="105DEE24" w14:textId="77777777" w:rsidR="00851A3C" w:rsidRPr="003D74DD" w:rsidRDefault="00851A3C" w:rsidP="00851A3C">
      <w:pPr>
        <w:rPr>
          <w:color w:val="1C2023"/>
        </w:rPr>
      </w:pPr>
    </w:p>
    <w:sectPr w:rsidR="00851A3C" w:rsidRPr="003D74DD" w:rsidSect="003B14C4">
      <w:headerReference w:type="default" r:id="rId10"/>
      <w:footerReference w:type="default" r:id="rId11"/>
      <w:headerReference w:type="first" r:id="rId12"/>
      <w:footerReference w:type="first" r:id="rId1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427F9" w14:textId="77777777" w:rsidR="00F7735A" w:rsidRDefault="00F7735A" w:rsidP="005C6D76">
      <w:r>
        <w:separator/>
      </w:r>
    </w:p>
  </w:endnote>
  <w:endnote w:type="continuationSeparator" w:id="0">
    <w:p w14:paraId="22F7AFA2" w14:textId="77777777" w:rsidR="00F7735A" w:rsidRDefault="00F7735A" w:rsidP="005C6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B569" w14:textId="77777777" w:rsidR="003C1DCE" w:rsidRPr="00A37CC9" w:rsidRDefault="003C1DCE" w:rsidP="003C1DCE">
    <w:pPr>
      <w:spacing w:line="288" w:lineRule="auto"/>
      <w:rPr>
        <w:rFonts w:ascii="Calibri Light" w:hAnsi="Calibri Light"/>
        <w:i/>
        <w:color w:val="1C2023"/>
        <w:sz w:val="20"/>
      </w:rPr>
    </w:pPr>
    <w:r w:rsidRPr="00A37CC9">
      <w:rPr>
        <w:rFonts w:ascii="Calibri Light" w:hAnsi="Calibri Light"/>
        <w:i/>
        <w:color w:val="1C2023"/>
        <w:sz w:val="20"/>
      </w:rPr>
      <w:t>The Children’s Dyslexia Centers Inc. is a tax-exempt 501(C)(3) charitable organization.</w:t>
    </w:r>
  </w:p>
  <w:p w14:paraId="4E983EB5" w14:textId="77777777" w:rsidR="003C1DCE" w:rsidRDefault="003C1DCE" w:rsidP="005C6D76">
    <w:pPr>
      <w:pStyle w:val="Footer"/>
      <w:tabs>
        <w:tab w:val="clear" w:pos="4680"/>
        <w:tab w:val="clear" w:pos="9360"/>
        <w:tab w:val="left" w:pos="1867"/>
      </w:tabs>
    </w:pPr>
  </w:p>
  <w:p w14:paraId="41AA7D1F" w14:textId="77777777" w:rsidR="003C1DCE" w:rsidRDefault="003C1DCE" w:rsidP="005C6D76">
    <w:pPr>
      <w:pStyle w:val="Footer"/>
      <w:tabs>
        <w:tab w:val="clear" w:pos="4680"/>
        <w:tab w:val="clear" w:pos="9360"/>
        <w:tab w:val="left" w:pos="1867"/>
      </w:tabs>
    </w:pPr>
  </w:p>
  <w:p w14:paraId="448EE029" w14:textId="7AFD6D67" w:rsidR="005C6D76" w:rsidRDefault="004015DA" w:rsidP="005C6D76">
    <w:pPr>
      <w:pStyle w:val="Footer"/>
      <w:tabs>
        <w:tab w:val="clear" w:pos="4680"/>
        <w:tab w:val="clear" w:pos="9360"/>
        <w:tab w:val="left" w:pos="1867"/>
      </w:tabs>
    </w:pPr>
    <w:r>
      <w:rPr>
        <w:noProof/>
      </w:rPr>
      <w:drawing>
        <wp:anchor distT="0" distB="0" distL="114300" distR="114300" simplePos="0" relativeHeight="251655680" behindDoc="1" locked="0" layoutInCell="1" allowOverlap="1" wp14:anchorId="5A4541A2" wp14:editId="2B0BB3CC">
          <wp:simplePos x="0" y="0"/>
          <wp:positionH relativeFrom="column">
            <wp:posOffset>-911860</wp:posOffset>
          </wp:positionH>
          <wp:positionV relativeFrom="paragraph">
            <wp:posOffset>-271145</wp:posOffset>
          </wp:positionV>
          <wp:extent cx="7767320" cy="913765"/>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D76">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14CF" w14:textId="2C096886" w:rsidR="003C1DCE" w:rsidRPr="00A37CC9" w:rsidRDefault="004015DA" w:rsidP="002811E9">
    <w:pPr>
      <w:spacing w:line="288" w:lineRule="auto"/>
      <w:rPr>
        <w:rFonts w:ascii="Calibri Light" w:hAnsi="Calibri Light"/>
        <w:i/>
        <w:color w:val="1C2023"/>
        <w:sz w:val="20"/>
      </w:rPr>
    </w:pPr>
    <w:r>
      <w:rPr>
        <w:noProof/>
      </w:rPr>
      <w:drawing>
        <wp:anchor distT="0" distB="0" distL="114300" distR="114300" simplePos="0" relativeHeight="251659776" behindDoc="1" locked="0" layoutInCell="1" allowOverlap="1" wp14:anchorId="30083455" wp14:editId="734B5504">
          <wp:simplePos x="0" y="0"/>
          <wp:positionH relativeFrom="column">
            <wp:posOffset>-948690</wp:posOffset>
          </wp:positionH>
          <wp:positionV relativeFrom="paragraph">
            <wp:posOffset>266065</wp:posOffset>
          </wp:positionV>
          <wp:extent cx="7822565" cy="91948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2565"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DCE" w:rsidRPr="00A37CC9">
      <w:rPr>
        <w:rFonts w:ascii="Calibri Light" w:hAnsi="Calibri Light"/>
        <w:i/>
        <w:color w:val="1C2023"/>
        <w:sz w:val="20"/>
      </w:rPr>
      <w:t>The Children’s Dyslexia Centers Inc. is a tax-exempt 501(C)(3) charitable organization.</w:t>
    </w:r>
  </w:p>
  <w:p w14:paraId="29703912" w14:textId="77777777" w:rsidR="003C1DCE" w:rsidRDefault="003C1DCE">
    <w:pPr>
      <w:pStyle w:val="Footer"/>
    </w:pPr>
  </w:p>
  <w:p w14:paraId="514A2248" w14:textId="77777777" w:rsidR="003C1DCE" w:rsidRDefault="003C1DCE">
    <w:pPr>
      <w:pStyle w:val="Footer"/>
    </w:pPr>
  </w:p>
  <w:p w14:paraId="24120D95" w14:textId="77777777" w:rsidR="001F312F" w:rsidRDefault="001F31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326D7" w14:textId="77777777" w:rsidR="00F7735A" w:rsidRDefault="00F7735A" w:rsidP="005C6D76">
      <w:r>
        <w:separator/>
      </w:r>
    </w:p>
  </w:footnote>
  <w:footnote w:type="continuationSeparator" w:id="0">
    <w:p w14:paraId="4EDC97F4" w14:textId="77777777" w:rsidR="00F7735A" w:rsidRDefault="00F7735A" w:rsidP="005C6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5BC8" w14:textId="41047CF8" w:rsidR="005C6D76" w:rsidRDefault="004015DA">
    <w:pPr>
      <w:pStyle w:val="Header"/>
    </w:pPr>
    <w:r>
      <w:rPr>
        <w:noProof/>
      </w:rPr>
      <w:drawing>
        <wp:anchor distT="0" distB="0" distL="114300" distR="114300" simplePos="0" relativeHeight="251658752" behindDoc="1" locked="1" layoutInCell="1" allowOverlap="1" wp14:anchorId="142493C2" wp14:editId="37E0AAC8">
          <wp:simplePos x="0" y="0"/>
          <wp:positionH relativeFrom="column">
            <wp:posOffset>-920750</wp:posOffset>
          </wp:positionH>
          <wp:positionV relativeFrom="page">
            <wp:posOffset>0</wp:posOffset>
          </wp:positionV>
          <wp:extent cx="7772400" cy="1280160"/>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3F6C6" w14:textId="77777777" w:rsidR="005C6D76" w:rsidRDefault="005C6D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222E1" w14:textId="681A7AE2" w:rsidR="001F312F" w:rsidRDefault="004015DA">
    <w:pPr>
      <w:pStyle w:val="Header"/>
    </w:pPr>
    <w:r>
      <w:rPr>
        <w:noProof/>
      </w:rPr>
      <mc:AlternateContent>
        <mc:Choice Requires="wps">
          <w:drawing>
            <wp:anchor distT="0" distB="0" distL="114300" distR="114300" simplePos="0" relativeHeight="251657728" behindDoc="0" locked="0" layoutInCell="1" allowOverlap="1" wp14:anchorId="2DF3BA9F" wp14:editId="75C6D65C">
              <wp:simplePos x="0" y="0"/>
              <wp:positionH relativeFrom="column">
                <wp:posOffset>3004185</wp:posOffset>
              </wp:positionH>
              <wp:positionV relativeFrom="paragraph">
                <wp:posOffset>73025</wp:posOffset>
              </wp:positionV>
              <wp:extent cx="3091815" cy="111442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091815" cy="1114425"/>
                      </a:xfrm>
                      <a:prstGeom prst="rect">
                        <a:avLst/>
                      </a:prstGeom>
                      <a:noFill/>
                      <a:ln w="6350">
                        <a:noFill/>
                      </a:ln>
                    </wps:spPr>
                    <wps:txbx>
                      <w:txbxContent>
                        <w:p w14:paraId="45CC5FBE" w14:textId="2623FBED" w:rsidR="001F312F" w:rsidRPr="005C6D76" w:rsidRDefault="00BD155B" w:rsidP="001F312F">
                          <w:pPr>
                            <w:jc w:val="right"/>
                            <w:rPr>
                              <w:rFonts w:cs="Calibri"/>
                              <w:color w:val="443D80"/>
                            </w:rPr>
                          </w:pPr>
                          <w:r>
                            <w:rPr>
                              <w:rFonts w:cs="Calibri"/>
                              <w:color w:val="443D80"/>
                            </w:rPr>
                            <w:t>Corporate Office</w:t>
                          </w:r>
                        </w:p>
                        <w:p w14:paraId="4C81E513" w14:textId="6C20077F" w:rsidR="001F312F" w:rsidRDefault="00BD155B" w:rsidP="001F312F">
                          <w:pPr>
                            <w:jc w:val="right"/>
                            <w:rPr>
                              <w:rFonts w:cs="Calibri"/>
                              <w:b/>
                              <w:color w:val="443D80"/>
                              <w:sz w:val="18"/>
                            </w:rPr>
                          </w:pPr>
                          <w:r>
                            <w:rPr>
                              <w:rFonts w:cs="Calibri"/>
                              <w:b/>
                              <w:color w:val="443D80"/>
                              <w:sz w:val="18"/>
                            </w:rPr>
                            <w:t xml:space="preserve">Carin M. Illig, M. Ed., </w:t>
                          </w:r>
                          <w:r w:rsidR="0080409D">
                            <w:rPr>
                              <w:rFonts w:cs="Calibri"/>
                              <w:b/>
                              <w:color w:val="443D80"/>
                              <w:sz w:val="18"/>
                            </w:rPr>
                            <w:t xml:space="preserve">CIT, C-SLDS, </w:t>
                          </w:r>
                          <w:r>
                            <w:rPr>
                              <w:rFonts w:cs="Calibri"/>
                              <w:b/>
                              <w:color w:val="443D80"/>
                              <w:sz w:val="18"/>
                            </w:rPr>
                            <w:t>CALT-QI</w:t>
                          </w:r>
                        </w:p>
                        <w:p w14:paraId="2E3DD6B5" w14:textId="6DA30A00" w:rsidR="001F312F" w:rsidRPr="001F312F" w:rsidRDefault="00BD155B" w:rsidP="001F312F">
                          <w:pPr>
                            <w:jc w:val="right"/>
                            <w:rPr>
                              <w:rFonts w:cs="Calibri"/>
                              <w:b/>
                              <w:color w:val="443D80"/>
                              <w:sz w:val="18"/>
                            </w:rPr>
                          </w:pPr>
                          <w:r>
                            <w:rPr>
                              <w:rFonts w:cs="Calibri"/>
                              <w:b/>
                              <w:color w:val="443D80"/>
                              <w:sz w:val="18"/>
                            </w:rPr>
                            <w:t>Clinical Director</w:t>
                          </w:r>
                        </w:p>
                        <w:p w14:paraId="15629833" w14:textId="77777777" w:rsidR="001F312F" w:rsidRDefault="001F312F" w:rsidP="001F312F">
                          <w:pPr>
                            <w:jc w:val="right"/>
                            <w:rPr>
                              <w:rFonts w:cs="Calibri"/>
                              <w:color w:val="1C2023"/>
                              <w:sz w:val="18"/>
                            </w:rPr>
                          </w:pPr>
                        </w:p>
                        <w:p w14:paraId="770A9B07" w14:textId="6000E8D8" w:rsidR="001F312F" w:rsidRDefault="001F312F" w:rsidP="001F312F">
                          <w:pPr>
                            <w:jc w:val="right"/>
                            <w:rPr>
                              <w:rFonts w:cs="Calibri"/>
                              <w:color w:val="1C2023"/>
                              <w:sz w:val="18"/>
                            </w:rPr>
                          </w:pPr>
                        </w:p>
                        <w:p w14:paraId="6CEA4C9C" w14:textId="77777777" w:rsidR="008D48E7" w:rsidRPr="001F312F" w:rsidRDefault="008D48E7" w:rsidP="001F312F">
                          <w:pPr>
                            <w:jc w:val="right"/>
                            <w:rPr>
                              <w:rFonts w:cs="Calibri"/>
                              <w:color w:val="1C2023"/>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3BA9F" id="_x0000_t202" coordsize="21600,21600" o:spt="202" path="m,l,21600r21600,l21600,xe">
              <v:stroke joinstyle="miter"/>
              <v:path gradientshapeok="t" o:connecttype="rect"/>
            </v:shapetype>
            <v:shape id="Text Box 6" o:spid="_x0000_s1026" type="#_x0000_t202" style="position:absolute;margin-left:236.55pt;margin-top:5.75pt;width:243.45pt;height:8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" filled="f" stroked="f" strokeweight=".5pt">
              <v:textbox>
                <w:txbxContent>
                  <w:p w14:paraId="45CC5FBE" w14:textId="2623FBED" w:rsidR="001F312F" w:rsidRPr="005C6D76" w:rsidRDefault="00BD155B" w:rsidP="001F312F">
                    <w:pPr>
                      <w:jc w:val="right"/>
                      <w:rPr>
                        <w:rFonts w:cs="Calibri"/>
                        <w:color w:val="443D80"/>
                      </w:rPr>
                    </w:pPr>
                    <w:r>
                      <w:rPr>
                        <w:rFonts w:cs="Calibri"/>
                        <w:color w:val="443D80"/>
                      </w:rPr>
                      <w:t>Corporate Office</w:t>
                    </w:r>
                  </w:p>
                  <w:p w14:paraId="4C81E513" w14:textId="6C20077F" w:rsidR="001F312F" w:rsidRDefault="00BD155B" w:rsidP="001F312F">
                    <w:pPr>
                      <w:jc w:val="right"/>
                      <w:rPr>
                        <w:rFonts w:cs="Calibri"/>
                        <w:b/>
                        <w:color w:val="443D80"/>
                        <w:sz w:val="18"/>
                      </w:rPr>
                    </w:pPr>
                    <w:r>
                      <w:rPr>
                        <w:rFonts w:cs="Calibri"/>
                        <w:b/>
                        <w:color w:val="443D80"/>
                        <w:sz w:val="18"/>
                      </w:rPr>
                      <w:t xml:space="preserve">Carin M. Illig, M. Ed., </w:t>
                    </w:r>
                    <w:r w:rsidR="0080409D">
                      <w:rPr>
                        <w:rFonts w:cs="Calibri"/>
                        <w:b/>
                        <w:color w:val="443D80"/>
                        <w:sz w:val="18"/>
                      </w:rPr>
                      <w:t xml:space="preserve">CIT, C-SLDS, </w:t>
                    </w:r>
                    <w:r>
                      <w:rPr>
                        <w:rFonts w:cs="Calibri"/>
                        <w:b/>
                        <w:color w:val="443D80"/>
                        <w:sz w:val="18"/>
                      </w:rPr>
                      <w:t>CALT-QI</w:t>
                    </w:r>
                  </w:p>
                  <w:p w14:paraId="2E3DD6B5" w14:textId="6DA30A00" w:rsidR="001F312F" w:rsidRPr="001F312F" w:rsidRDefault="00BD155B" w:rsidP="001F312F">
                    <w:pPr>
                      <w:jc w:val="right"/>
                      <w:rPr>
                        <w:rFonts w:cs="Calibri"/>
                        <w:b/>
                        <w:color w:val="443D80"/>
                        <w:sz w:val="18"/>
                      </w:rPr>
                    </w:pPr>
                    <w:r>
                      <w:rPr>
                        <w:rFonts w:cs="Calibri"/>
                        <w:b/>
                        <w:color w:val="443D80"/>
                        <w:sz w:val="18"/>
                      </w:rPr>
                      <w:t>Clinical Director</w:t>
                    </w:r>
                  </w:p>
                  <w:p w14:paraId="15629833" w14:textId="77777777" w:rsidR="001F312F" w:rsidRDefault="001F312F" w:rsidP="001F312F">
                    <w:pPr>
                      <w:jc w:val="right"/>
                      <w:rPr>
                        <w:rFonts w:cs="Calibri"/>
                        <w:color w:val="1C2023"/>
                        <w:sz w:val="18"/>
                      </w:rPr>
                    </w:pPr>
                  </w:p>
                  <w:p w14:paraId="770A9B07" w14:textId="6000E8D8" w:rsidR="001F312F" w:rsidRDefault="001F312F" w:rsidP="001F312F">
                    <w:pPr>
                      <w:jc w:val="right"/>
                      <w:rPr>
                        <w:rFonts w:cs="Calibri"/>
                        <w:color w:val="1C2023"/>
                        <w:sz w:val="18"/>
                      </w:rPr>
                    </w:pPr>
                  </w:p>
                  <w:p w14:paraId="6CEA4C9C" w14:textId="77777777" w:rsidR="008D48E7" w:rsidRPr="001F312F" w:rsidRDefault="008D48E7" w:rsidP="001F312F">
                    <w:pPr>
                      <w:jc w:val="right"/>
                      <w:rPr>
                        <w:rFonts w:cs="Calibri"/>
                        <w:color w:val="1C2023"/>
                        <w:sz w:val="18"/>
                      </w:rPr>
                    </w:pPr>
                  </w:p>
                </w:txbxContent>
              </v:textbox>
            </v:shape>
          </w:pict>
        </mc:Fallback>
      </mc:AlternateContent>
    </w:r>
    <w:r>
      <w:rPr>
        <w:noProof/>
      </w:rPr>
      <w:drawing>
        <wp:anchor distT="0" distB="0" distL="114300" distR="114300" simplePos="0" relativeHeight="251656704" behindDoc="1" locked="1" layoutInCell="1" allowOverlap="1" wp14:anchorId="7A4B2646" wp14:editId="0CABC2D7">
          <wp:simplePos x="0" y="0"/>
          <wp:positionH relativeFrom="column">
            <wp:posOffset>-914400</wp:posOffset>
          </wp:positionH>
          <wp:positionV relativeFrom="page">
            <wp:posOffset>7620</wp:posOffset>
          </wp:positionV>
          <wp:extent cx="7781290" cy="128016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E2E42"/>
    <w:multiLevelType w:val="hybridMultilevel"/>
    <w:tmpl w:val="9A9CFC16"/>
    <w:lvl w:ilvl="0" w:tplc="A44A3A9A">
      <w:start w:val="1"/>
      <w:numFmt w:val="decimal"/>
      <w:lvlText w:val="%1."/>
      <w:lvlJc w:val="left"/>
      <w:pPr>
        <w:tabs>
          <w:tab w:val="num" w:pos="720"/>
        </w:tabs>
        <w:ind w:left="720" w:hanging="360"/>
      </w:pPr>
    </w:lvl>
    <w:lvl w:ilvl="1" w:tplc="AF72327A" w:tentative="1">
      <w:start w:val="1"/>
      <w:numFmt w:val="decimal"/>
      <w:lvlText w:val="%2."/>
      <w:lvlJc w:val="left"/>
      <w:pPr>
        <w:tabs>
          <w:tab w:val="num" w:pos="1440"/>
        </w:tabs>
        <w:ind w:left="1440" w:hanging="360"/>
      </w:pPr>
    </w:lvl>
    <w:lvl w:ilvl="2" w:tplc="D660BB44" w:tentative="1">
      <w:start w:val="1"/>
      <w:numFmt w:val="decimal"/>
      <w:lvlText w:val="%3."/>
      <w:lvlJc w:val="left"/>
      <w:pPr>
        <w:tabs>
          <w:tab w:val="num" w:pos="2160"/>
        </w:tabs>
        <w:ind w:left="2160" w:hanging="360"/>
      </w:pPr>
    </w:lvl>
    <w:lvl w:ilvl="3" w:tplc="D67A7EE8" w:tentative="1">
      <w:start w:val="1"/>
      <w:numFmt w:val="decimal"/>
      <w:lvlText w:val="%4."/>
      <w:lvlJc w:val="left"/>
      <w:pPr>
        <w:tabs>
          <w:tab w:val="num" w:pos="2880"/>
        </w:tabs>
        <w:ind w:left="2880" w:hanging="360"/>
      </w:pPr>
    </w:lvl>
    <w:lvl w:ilvl="4" w:tplc="1E502508" w:tentative="1">
      <w:start w:val="1"/>
      <w:numFmt w:val="decimal"/>
      <w:lvlText w:val="%5."/>
      <w:lvlJc w:val="left"/>
      <w:pPr>
        <w:tabs>
          <w:tab w:val="num" w:pos="3600"/>
        </w:tabs>
        <w:ind w:left="3600" w:hanging="360"/>
      </w:pPr>
    </w:lvl>
    <w:lvl w:ilvl="5" w:tplc="10084B16" w:tentative="1">
      <w:start w:val="1"/>
      <w:numFmt w:val="decimal"/>
      <w:lvlText w:val="%6."/>
      <w:lvlJc w:val="left"/>
      <w:pPr>
        <w:tabs>
          <w:tab w:val="num" w:pos="4320"/>
        </w:tabs>
        <w:ind w:left="4320" w:hanging="360"/>
      </w:pPr>
    </w:lvl>
    <w:lvl w:ilvl="6" w:tplc="F6ACE6EC" w:tentative="1">
      <w:start w:val="1"/>
      <w:numFmt w:val="decimal"/>
      <w:lvlText w:val="%7."/>
      <w:lvlJc w:val="left"/>
      <w:pPr>
        <w:tabs>
          <w:tab w:val="num" w:pos="5040"/>
        </w:tabs>
        <w:ind w:left="5040" w:hanging="360"/>
      </w:pPr>
    </w:lvl>
    <w:lvl w:ilvl="7" w:tplc="74B0F900" w:tentative="1">
      <w:start w:val="1"/>
      <w:numFmt w:val="decimal"/>
      <w:lvlText w:val="%8."/>
      <w:lvlJc w:val="left"/>
      <w:pPr>
        <w:tabs>
          <w:tab w:val="num" w:pos="5760"/>
        </w:tabs>
        <w:ind w:left="5760" w:hanging="360"/>
      </w:pPr>
    </w:lvl>
    <w:lvl w:ilvl="8" w:tplc="F912D582" w:tentative="1">
      <w:start w:val="1"/>
      <w:numFmt w:val="decimal"/>
      <w:lvlText w:val="%9."/>
      <w:lvlJc w:val="left"/>
      <w:pPr>
        <w:tabs>
          <w:tab w:val="num" w:pos="6480"/>
        </w:tabs>
        <w:ind w:left="6480" w:hanging="360"/>
      </w:pPr>
    </w:lvl>
  </w:abstractNum>
  <w:abstractNum w:abstractNumId="1" w15:restartNumberingAfterBreak="0">
    <w:nsid w:val="0A2E4711"/>
    <w:multiLevelType w:val="hybridMultilevel"/>
    <w:tmpl w:val="28A24DBE"/>
    <w:lvl w:ilvl="0" w:tplc="CBBC9B40">
      <w:start w:val="1"/>
      <w:numFmt w:val="bullet"/>
      <w:lvlText w:val="•"/>
      <w:lvlJc w:val="left"/>
      <w:pPr>
        <w:tabs>
          <w:tab w:val="num" w:pos="720"/>
        </w:tabs>
        <w:ind w:left="720" w:hanging="360"/>
      </w:pPr>
      <w:rPr>
        <w:rFonts w:ascii="Arial" w:hAnsi="Arial" w:hint="default"/>
      </w:rPr>
    </w:lvl>
    <w:lvl w:ilvl="1" w:tplc="589484D6" w:tentative="1">
      <w:start w:val="1"/>
      <w:numFmt w:val="bullet"/>
      <w:lvlText w:val="•"/>
      <w:lvlJc w:val="left"/>
      <w:pPr>
        <w:tabs>
          <w:tab w:val="num" w:pos="1440"/>
        </w:tabs>
        <w:ind w:left="1440" w:hanging="360"/>
      </w:pPr>
      <w:rPr>
        <w:rFonts w:ascii="Arial" w:hAnsi="Arial" w:hint="default"/>
      </w:rPr>
    </w:lvl>
    <w:lvl w:ilvl="2" w:tplc="74DECBAC" w:tentative="1">
      <w:start w:val="1"/>
      <w:numFmt w:val="bullet"/>
      <w:lvlText w:val="•"/>
      <w:lvlJc w:val="left"/>
      <w:pPr>
        <w:tabs>
          <w:tab w:val="num" w:pos="2160"/>
        </w:tabs>
        <w:ind w:left="2160" w:hanging="360"/>
      </w:pPr>
      <w:rPr>
        <w:rFonts w:ascii="Arial" w:hAnsi="Arial" w:hint="default"/>
      </w:rPr>
    </w:lvl>
    <w:lvl w:ilvl="3" w:tplc="0D18A8E6" w:tentative="1">
      <w:start w:val="1"/>
      <w:numFmt w:val="bullet"/>
      <w:lvlText w:val="•"/>
      <w:lvlJc w:val="left"/>
      <w:pPr>
        <w:tabs>
          <w:tab w:val="num" w:pos="2880"/>
        </w:tabs>
        <w:ind w:left="2880" w:hanging="360"/>
      </w:pPr>
      <w:rPr>
        <w:rFonts w:ascii="Arial" w:hAnsi="Arial" w:hint="default"/>
      </w:rPr>
    </w:lvl>
    <w:lvl w:ilvl="4" w:tplc="F3C2EDAC" w:tentative="1">
      <w:start w:val="1"/>
      <w:numFmt w:val="bullet"/>
      <w:lvlText w:val="•"/>
      <w:lvlJc w:val="left"/>
      <w:pPr>
        <w:tabs>
          <w:tab w:val="num" w:pos="3600"/>
        </w:tabs>
        <w:ind w:left="3600" w:hanging="360"/>
      </w:pPr>
      <w:rPr>
        <w:rFonts w:ascii="Arial" w:hAnsi="Arial" w:hint="default"/>
      </w:rPr>
    </w:lvl>
    <w:lvl w:ilvl="5" w:tplc="8D36B954" w:tentative="1">
      <w:start w:val="1"/>
      <w:numFmt w:val="bullet"/>
      <w:lvlText w:val="•"/>
      <w:lvlJc w:val="left"/>
      <w:pPr>
        <w:tabs>
          <w:tab w:val="num" w:pos="4320"/>
        </w:tabs>
        <w:ind w:left="4320" w:hanging="360"/>
      </w:pPr>
      <w:rPr>
        <w:rFonts w:ascii="Arial" w:hAnsi="Arial" w:hint="default"/>
      </w:rPr>
    </w:lvl>
    <w:lvl w:ilvl="6" w:tplc="7752051A" w:tentative="1">
      <w:start w:val="1"/>
      <w:numFmt w:val="bullet"/>
      <w:lvlText w:val="•"/>
      <w:lvlJc w:val="left"/>
      <w:pPr>
        <w:tabs>
          <w:tab w:val="num" w:pos="5040"/>
        </w:tabs>
        <w:ind w:left="5040" w:hanging="360"/>
      </w:pPr>
      <w:rPr>
        <w:rFonts w:ascii="Arial" w:hAnsi="Arial" w:hint="default"/>
      </w:rPr>
    </w:lvl>
    <w:lvl w:ilvl="7" w:tplc="2402DAC4" w:tentative="1">
      <w:start w:val="1"/>
      <w:numFmt w:val="bullet"/>
      <w:lvlText w:val="•"/>
      <w:lvlJc w:val="left"/>
      <w:pPr>
        <w:tabs>
          <w:tab w:val="num" w:pos="5760"/>
        </w:tabs>
        <w:ind w:left="5760" w:hanging="360"/>
      </w:pPr>
      <w:rPr>
        <w:rFonts w:ascii="Arial" w:hAnsi="Arial" w:hint="default"/>
      </w:rPr>
    </w:lvl>
    <w:lvl w:ilvl="8" w:tplc="437C7A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8442D1"/>
    <w:multiLevelType w:val="hybridMultilevel"/>
    <w:tmpl w:val="C26E8260"/>
    <w:lvl w:ilvl="0" w:tplc="31B2E460">
      <w:start w:val="1"/>
      <w:numFmt w:val="decimal"/>
      <w:lvlText w:val="%1."/>
      <w:lvlJc w:val="left"/>
      <w:pPr>
        <w:tabs>
          <w:tab w:val="num" w:pos="720"/>
        </w:tabs>
        <w:ind w:left="720" w:hanging="360"/>
      </w:pPr>
      <w:rPr>
        <w:b/>
        <w:bCs/>
      </w:rPr>
    </w:lvl>
    <w:lvl w:ilvl="1" w:tplc="EEDE7FA8" w:tentative="1">
      <w:start w:val="1"/>
      <w:numFmt w:val="decimal"/>
      <w:lvlText w:val="%2."/>
      <w:lvlJc w:val="left"/>
      <w:pPr>
        <w:tabs>
          <w:tab w:val="num" w:pos="1440"/>
        </w:tabs>
        <w:ind w:left="1440" w:hanging="360"/>
      </w:pPr>
    </w:lvl>
    <w:lvl w:ilvl="2" w:tplc="EFCE6AAE" w:tentative="1">
      <w:start w:val="1"/>
      <w:numFmt w:val="decimal"/>
      <w:lvlText w:val="%3."/>
      <w:lvlJc w:val="left"/>
      <w:pPr>
        <w:tabs>
          <w:tab w:val="num" w:pos="2160"/>
        </w:tabs>
        <w:ind w:left="2160" w:hanging="360"/>
      </w:pPr>
    </w:lvl>
    <w:lvl w:ilvl="3" w:tplc="3392E038" w:tentative="1">
      <w:start w:val="1"/>
      <w:numFmt w:val="decimal"/>
      <w:lvlText w:val="%4."/>
      <w:lvlJc w:val="left"/>
      <w:pPr>
        <w:tabs>
          <w:tab w:val="num" w:pos="2880"/>
        </w:tabs>
        <w:ind w:left="2880" w:hanging="360"/>
      </w:pPr>
    </w:lvl>
    <w:lvl w:ilvl="4" w:tplc="7E4EEA0C" w:tentative="1">
      <w:start w:val="1"/>
      <w:numFmt w:val="decimal"/>
      <w:lvlText w:val="%5."/>
      <w:lvlJc w:val="left"/>
      <w:pPr>
        <w:tabs>
          <w:tab w:val="num" w:pos="3600"/>
        </w:tabs>
        <w:ind w:left="3600" w:hanging="360"/>
      </w:pPr>
    </w:lvl>
    <w:lvl w:ilvl="5" w:tplc="815E6AC2" w:tentative="1">
      <w:start w:val="1"/>
      <w:numFmt w:val="decimal"/>
      <w:lvlText w:val="%6."/>
      <w:lvlJc w:val="left"/>
      <w:pPr>
        <w:tabs>
          <w:tab w:val="num" w:pos="4320"/>
        </w:tabs>
        <w:ind w:left="4320" w:hanging="360"/>
      </w:pPr>
    </w:lvl>
    <w:lvl w:ilvl="6" w:tplc="08088B48" w:tentative="1">
      <w:start w:val="1"/>
      <w:numFmt w:val="decimal"/>
      <w:lvlText w:val="%7."/>
      <w:lvlJc w:val="left"/>
      <w:pPr>
        <w:tabs>
          <w:tab w:val="num" w:pos="5040"/>
        </w:tabs>
        <w:ind w:left="5040" w:hanging="360"/>
      </w:pPr>
    </w:lvl>
    <w:lvl w:ilvl="7" w:tplc="DEFAA070" w:tentative="1">
      <w:start w:val="1"/>
      <w:numFmt w:val="decimal"/>
      <w:lvlText w:val="%8."/>
      <w:lvlJc w:val="left"/>
      <w:pPr>
        <w:tabs>
          <w:tab w:val="num" w:pos="5760"/>
        </w:tabs>
        <w:ind w:left="5760" w:hanging="360"/>
      </w:pPr>
    </w:lvl>
    <w:lvl w:ilvl="8" w:tplc="864E045C"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CC9"/>
    <w:rsid w:val="0003207F"/>
    <w:rsid w:val="00032652"/>
    <w:rsid w:val="00125118"/>
    <w:rsid w:val="00146C88"/>
    <w:rsid w:val="001B611D"/>
    <w:rsid w:val="001F312F"/>
    <w:rsid w:val="00217D8F"/>
    <w:rsid w:val="002811E9"/>
    <w:rsid w:val="002B6F68"/>
    <w:rsid w:val="00372C8F"/>
    <w:rsid w:val="003B14C4"/>
    <w:rsid w:val="003B2F3F"/>
    <w:rsid w:val="003C1DCE"/>
    <w:rsid w:val="003D74DD"/>
    <w:rsid w:val="004015DA"/>
    <w:rsid w:val="00415DB2"/>
    <w:rsid w:val="00461F62"/>
    <w:rsid w:val="005C6D76"/>
    <w:rsid w:val="00701D25"/>
    <w:rsid w:val="00745175"/>
    <w:rsid w:val="00781AD2"/>
    <w:rsid w:val="0080409D"/>
    <w:rsid w:val="00851A3C"/>
    <w:rsid w:val="008777BD"/>
    <w:rsid w:val="00883764"/>
    <w:rsid w:val="008D48E7"/>
    <w:rsid w:val="00A10F60"/>
    <w:rsid w:val="00A35719"/>
    <w:rsid w:val="00A37CC9"/>
    <w:rsid w:val="00A438C1"/>
    <w:rsid w:val="00BD155B"/>
    <w:rsid w:val="00D56906"/>
    <w:rsid w:val="00F7735A"/>
    <w:rsid w:val="00F95CBB"/>
    <w:rsid w:val="00FA1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6961B"/>
  <w15:chartTrackingRefBased/>
  <w15:docId w15:val="{128F1221-3D58-4F10-BC91-F934705CF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6D76"/>
    <w:pPr>
      <w:tabs>
        <w:tab w:val="center" w:pos="4680"/>
        <w:tab w:val="right" w:pos="9360"/>
      </w:tabs>
    </w:pPr>
  </w:style>
  <w:style w:type="character" w:customStyle="1" w:styleId="HeaderChar">
    <w:name w:val="Header Char"/>
    <w:basedOn w:val="DefaultParagraphFont"/>
    <w:link w:val="Header"/>
    <w:uiPriority w:val="99"/>
    <w:rsid w:val="005C6D76"/>
  </w:style>
  <w:style w:type="paragraph" w:styleId="Footer">
    <w:name w:val="footer"/>
    <w:basedOn w:val="Normal"/>
    <w:link w:val="FooterChar"/>
    <w:uiPriority w:val="99"/>
    <w:unhideWhenUsed/>
    <w:rsid w:val="005C6D76"/>
    <w:pPr>
      <w:tabs>
        <w:tab w:val="center" w:pos="4680"/>
        <w:tab w:val="right" w:pos="9360"/>
      </w:tabs>
    </w:pPr>
  </w:style>
  <w:style w:type="character" w:customStyle="1" w:styleId="FooterChar">
    <w:name w:val="Footer Char"/>
    <w:basedOn w:val="DefaultParagraphFont"/>
    <w:link w:val="Footer"/>
    <w:uiPriority w:val="99"/>
    <w:rsid w:val="005C6D76"/>
  </w:style>
  <w:style w:type="paragraph" w:styleId="NormalWeb">
    <w:name w:val="Normal (Web)"/>
    <w:basedOn w:val="Normal"/>
    <w:uiPriority w:val="99"/>
    <w:unhideWhenUsed/>
    <w:rsid w:val="003C1DCE"/>
    <w:pPr>
      <w:spacing w:before="100" w:beforeAutospacing="1" w:after="100" w:afterAutospacing="1"/>
    </w:pPr>
    <w:rPr>
      <w:rFonts w:ascii="Times New Roman" w:eastAsia="Times New Roman" w:hAnsi="Times New Roman"/>
    </w:rPr>
  </w:style>
  <w:style w:type="paragraph" w:styleId="BalloonText">
    <w:name w:val="Balloon Text"/>
    <w:basedOn w:val="Normal"/>
    <w:link w:val="BalloonTextChar"/>
    <w:uiPriority w:val="99"/>
    <w:semiHidden/>
    <w:unhideWhenUsed/>
    <w:rsid w:val="001B611D"/>
    <w:rPr>
      <w:rFonts w:ascii="Times New Roman" w:hAnsi="Times New Roman"/>
      <w:sz w:val="18"/>
      <w:szCs w:val="18"/>
    </w:rPr>
  </w:style>
  <w:style w:type="character" w:customStyle="1" w:styleId="BalloonTextChar">
    <w:name w:val="Balloon Text Char"/>
    <w:link w:val="BalloonText"/>
    <w:uiPriority w:val="99"/>
    <w:semiHidden/>
    <w:rsid w:val="001B611D"/>
    <w:rPr>
      <w:rFonts w:ascii="Times New Roman" w:hAnsi="Times New Roman"/>
      <w:sz w:val="18"/>
      <w:szCs w:val="18"/>
    </w:rPr>
  </w:style>
  <w:style w:type="character" w:styleId="Hyperlink">
    <w:name w:val="Hyperlink"/>
    <w:uiPriority w:val="99"/>
    <w:unhideWhenUsed/>
    <w:rsid w:val="003B14C4"/>
    <w:rPr>
      <w:color w:val="0563C1"/>
      <w:u w:val="single"/>
    </w:rPr>
  </w:style>
  <w:style w:type="character" w:styleId="UnresolvedMention">
    <w:name w:val="Unresolved Mention"/>
    <w:basedOn w:val="DefaultParagraphFont"/>
    <w:uiPriority w:val="99"/>
    <w:semiHidden/>
    <w:unhideWhenUsed/>
    <w:rsid w:val="003B14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6025">
      <w:bodyDiv w:val="1"/>
      <w:marLeft w:val="0"/>
      <w:marRight w:val="0"/>
      <w:marTop w:val="0"/>
      <w:marBottom w:val="0"/>
      <w:divBdr>
        <w:top w:val="none" w:sz="0" w:space="0" w:color="auto"/>
        <w:left w:val="none" w:sz="0" w:space="0" w:color="auto"/>
        <w:bottom w:val="none" w:sz="0" w:space="0" w:color="auto"/>
        <w:right w:val="none" w:sz="0" w:space="0" w:color="auto"/>
      </w:divBdr>
      <w:divsChild>
        <w:div w:id="852380366">
          <w:marLeft w:val="720"/>
          <w:marRight w:val="0"/>
          <w:marTop w:val="200"/>
          <w:marBottom w:val="0"/>
          <w:divBdr>
            <w:top w:val="none" w:sz="0" w:space="0" w:color="auto"/>
            <w:left w:val="none" w:sz="0" w:space="0" w:color="auto"/>
            <w:bottom w:val="none" w:sz="0" w:space="0" w:color="auto"/>
            <w:right w:val="none" w:sz="0" w:space="0" w:color="auto"/>
          </w:divBdr>
        </w:div>
        <w:div w:id="171727478">
          <w:marLeft w:val="720"/>
          <w:marRight w:val="0"/>
          <w:marTop w:val="200"/>
          <w:marBottom w:val="0"/>
          <w:divBdr>
            <w:top w:val="none" w:sz="0" w:space="0" w:color="auto"/>
            <w:left w:val="none" w:sz="0" w:space="0" w:color="auto"/>
            <w:bottom w:val="none" w:sz="0" w:space="0" w:color="auto"/>
            <w:right w:val="none" w:sz="0" w:space="0" w:color="auto"/>
          </w:divBdr>
        </w:div>
      </w:divsChild>
    </w:div>
    <w:div w:id="86968940">
      <w:bodyDiv w:val="1"/>
      <w:marLeft w:val="0"/>
      <w:marRight w:val="0"/>
      <w:marTop w:val="0"/>
      <w:marBottom w:val="0"/>
      <w:divBdr>
        <w:top w:val="none" w:sz="0" w:space="0" w:color="auto"/>
        <w:left w:val="none" w:sz="0" w:space="0" w:color="auto"/>
        <w:bottom w:val="none" w:sz="0" w:space="0" w:color="auto"/>
        <w:right w:val="none" w:sz="0" w:space="0" w:color="auto"/>
      </w:divBdr>
    </w:div>
    <w:div w:id="99104393">
      <w:bodyDiv w:val="1"/>
      <w:marLeft w:val="0"/>
      <w:marRight w:val="0"/>
      <w:marTop w:val="0"/>
      <w:marBottom w:val="0"/>
      <w:divBdr>
        <w:top w:val="none" w:sz="0" w:space="0" w:color="auto"/>
        <w:left w:val="none" w:sz="0" w:space="0" w:color="auto"/>
        <w:bottom w:val="none" w:sz="0" w:space="0" w:color="auto"/>
        <w:right w:val="none" w:sz="0" w:space="0" w:color="auto"/>
      </w:divBdr>
    </w:div>
    <w:div w:id="343477162">
      <w:bodyDiv w:val="1"/>
      <w:marLeft w:val="0"/>
      <w:marRight w:val="0"/>
      <w:marTop w:val="0"/>
      <w:marBottom w:val="0"/>
      <w:divBdr>
        <w:top w:val="none" w:sz="0" w:space="0" w:color="auto"/>
        <w:left w:val="none" w:sz="0" w:space="0" w:color="auto"/>
        <w:bottom w:val="none" w:sz="0" w:space="0" w:color="auto"/>
        <w:right w:val="none" w:sz="0" w:space="0" w:color="auto"/>
      </w:divBdr>
    </w:div>
    <w:div w:id="452017079">
      <w:bodyDiv w:val="1"/>
      <w:marLeft w:val="0"/>
      <w:marRight w:val="0"/>
      <w:marTop w:val="0"/>
      <w:marBottom w:val="0"/>
      <w:divBdr>
        <w:top w:val="none" w:sz="0" w:space="0" w:color="auto"/>
        <w:left w:val="none" w:sz="0" w:space="0" w:color="auto"/>
        <w:bottom w:val="none" w:sz="0" w:space="0" w:color="auto"/>
        <w:right w:val="none" w:sz="0" w:space="0" w:color="auto"/>
      </w:divBdr>
    </w:div>
    <w:div w:id="486944036">
      <w:bodyDiv w:val="1"/>
      <w:marLeft w:val="0"/>
      <w:marRight w:val="0"/>
      <w:marTop w:val="0"/>
      <w:marBottom w:val="0"/>
      <w:divBdr>
        <w:top w:val="none" w:sz="0" w:space="0" w:color="auto"/>
        <w:left w:val="none" w:sz="0" w:space="0" w:color="auto"/>
        <w:bottom w:val="none" w:sz="0" w:space="0" w:color="auto"/>
        <w:right w:val="none" w:sz="0" w:space="0" w:color="auto"/>
      </w:divBdr>
      <w:divsChild>
        <w:div w:id="166747946">
          <w:marLeft w:val="720"/>
          <w:marRight w:val="0"/>
          <w:marTop w:val="200"/>
          <w:marBottom w:val="0"/>
          <w:divBdr>
            <w:top w:val="none" w:sz="0" w:space="0" w:color="auto"/>
            <w:left w:val="none" w:sz="0" w:space="0" w:color="auto"/>
            <w:bottom w:val="none" w:sz="0" w:space="0" w:color="auto"/>
            <w:right w:val="none" w:sz="0" w:space="0" w:color="auto"/>
          </w:divBdr>
        </w:div>
        <w:div w:id="272565019">
          <w:marLeft w:val="806"/>
          <w:marRight w:val="0"/>
          <w:marTop w:val="200"/>
          <w:marBottom w:val="0"/>
          <w:divBdr>
            <w:top w:val="none" w:sz="0" w:space="0" w:color="auto"/>
            <w:left w:val="none" w:sz="0" w:space="0" w:color="auto"/>
            <w:bottom w:val="none" w:sz="0" w:space="0" w:color="auto"/>
            <w:right w:val="none" w:sz="0" w:space="0" w:color="auto"/>
          </w:divBdr>
        </w:div>
      </w:divsChild>
    </w:div>
    <w:div w:id="658772683">
      <w:bodyDiv w:val="1"/>
      <w:marLeft w:val="0"/>
      <w:marRight w:val="0"/>
      <w:marTop w:val="0"/>
      <w:marBottom w:val="0"/>
      <w:divBdr>
        <w:top w:val="none" w:sz="0" w:space="0" w:color="auto"/>
        <w:left w:val="none" w:sz="0" w:space="0" w:color="auto"/>
        <w:bottom w:val="none" w:sz="0" w:space="0" w:color="auto"/>
        <w:right w:val="none" w:sz="0" w:space="0" w:color="auto"/>
      </w:divBdr>
    </w:div>
    <w:div w:id="1311206153">
      <w:bodyDiv w:val="1"/>
      <w:marLeft w:val="0"/>
      <w:marRight w:val="0"/>
      <w:marTop w:val="0"/>
      <w:marBottom w:val="0"/>
      <w:divBdr>
        <w:top w:val="none" w:sz="0" w:space="0" w:color="auto"/>
        <w:left w:val="none" w:sz="0" w:space="0" w:color="auto"/>
        <w:bottom w:val="none" w:sz="0" w:space="0" w:color="auto"/>
        <w:right w:val="none" w:sz="0" w:space="0" w:color="auto"/>
      </w:divBdr>
    </w:div>
    <w:div w:id="1468013528">
      <w:bodyDiv w:val="1"/>
      <w:marLeft w:val="0"/>
      <w:marRight w:val="0"/>
      <w:marTop w:val="0"/>
      <w:marBottom w:val="0"/>
      <w:divBdr>
        <w:top w:val="none" w:sz="0" w:space="0" w:color="auto"/>
        <w:left w:val="none" w:sz="0" w:space="0" w:color="auto"/>
        <w:bottom w:val="none" w:sz="0" w:space="0" w:color="auto"/>
        <w:right w:val="none" w:sz="0" w:space="0" w:color="auto"/>
      </w:divBdr>
      <w:divsChild>
        <w:div w:id="1807970764">
          <w:marLeft w:val="907"/>
          <w:marRight w:val="0"/>
          <w:marTop w:val="200"/>
          <w:marBottom w:val="0"/>
          <w:divBdr>
            <w:top w:val="none" w:sz="0" w:space="0" w:color="auto"/>
            <w:left w:val="none" w:sz="0" w:space="0" w:color="auto"/>
            <w:bottom w:val="none" w:sz="0" w:space="0" w:color="auto"/>
            <w:right w:val="none" w:sz="0" w:space="0" w:color="auto"/>
          </w:divBdr>
        </w:div>
        <w:div w:id="257179191">
          <w:marLeft w:val="907"/>
          <w:marRight w:val="0"/>
          <w:marTop w:val="200"/>
          <w:marBottom w:val="0"/>
          <w:divBdr>
            <w:top w:val="none" w:sz="0" w:space="0" w:color="auto"/>
            <w:left w:val="none" w:sz="0" w:space="0" w:color="auto"/>
            <w:bottom w:val="none" w:sz="0" w:space="0" w:color="auto"/>
            <w:right w:val="none" w:sz="0" w:space="0" w:color="auto"/>
          </w:divBdr>
        </w:div>
      </w:divsChild>
    </w:div>
    <w:div w:id="1766532909">
      <w:bodyDiv w:val="1"/>
      <w:marLeft w:val="0"/>
      <w:marRight w:val="0"/>
      <w:marTop w:val="0"/>
      <w:marBottom w:val="0"/>
      <w:divBdr>
        <w:top w:val="none" w:sz="0" w:space="0" w:color="auto"/>
        <w:left w:val="none" w:sz="0" w:space="0" w:color="auto"/>
        <w:bottom w:val="none" w:sz="0" w:space="0" w:color="auto"/>
        <w:right w:val="none" w:sz="0" w:space="0" w:color="auto"/>
      </w:divBdr>
    </w:div>
    <w:div w:id="1818957886">
      <w:bodyDiv w:val="1"/>
      <w:marLeft w:val="0"/>
      <w:marRight w:val="0"/>
      <w:marTop w:val="0"/>
      <w:marBottom w:val="0"/>
      <w:divBdr>
        <w:top w:val="none" w:sz="0" w:space="0" w:color="auto"/>
        <w:left w:val="none" w:sz="0" w:space="0" w:color="auto"/>
        <w:bottom w:val="none" w:sz="0" w:space="0" w:color="auto"/>
        <w:right w:val="none" w:sz="0" w:space="0" w:color="auto"/>
      </w:divBdr>
    </w:div>
    <w:div w:id="210568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QAdmin@cdcinc.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hildrensdyslexiacenters.org/continuing-educatio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Library\Mobile%20Documents\com~apple~CloudDocs\00_SR%20Projects\00_CHARITIES\Children's%20Dyslexia%20Centers\00_FINAL\Letterhead\Childrens%20Dyslexia%20Center%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6459E-F8A3-4706-987D-B8C01DD61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Childrens Dyslexia Center Letterhead Template</Template>
  <TotalTime>7</TotalTime>
  <Pages>2</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Carin Illig</cp:lastModifiedBy>
  <cp:revision>4</cp:revision>
  <cp:lastPrinted>2019-05-21T22:08:00Z</cp:lastPrinted>
  <dcterms:created xsi:type="dcterms:W3CDTF">2021-06-01T14:14:00Z</dcterms:created>
  <dcterms:modified xsi:type="dcterms:W3CDTF">2021-06-01T14:28:00Z</dcterms:modified>
</cp:coreProperties>
</file>